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3F1B" w14:textId="035B28E4" w:rsidR="007352FF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Exmo. (a) Sr. (a)</w:t>
      </w:r>
    </w:p>
    <w:p w14:paraId="5B3C6361" w14:textId="5DBEA8A7" w:rsidR="0004016E" w:rsidRDefault="0004016E" w:rsidP="00093E6B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SEGURANÇA SOCIAL</w:t>
      </w:r>
    </w:p>
    <w:p w14:paraId="4DAE3FF2" w14:textId="77777777" w:rsidR="003427CE" w:rsidRDefault="003427CE" w:rsidP="003427CE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DEPARTAMENTO DE FISCALIZAÇÃO</w:t>
      </w:r>
    </w:p>
    <w:p w14:paraId="7658F4A4" w14:textId="666FE3CC" w:rsidR="003427CE" w:rsidRPr="00093E6B" w:rsidRDefault="003427CE" w:rsidP="00093E6B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UNIDADE DE FISCALIZAÇÃO DE ___</w:t>
      </w:r>
    </w:p>
    <w:p w14:paraId="1EE2BDC5" w14:textId="001608F0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86199EE" w14:textId="6D82E8DE" w:rsidR="0004016E" w:rsidRPr="00093E6B" w:rsidRDefault="0004016E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6F25273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F5EAD69" w14:textId="77777777" w:rsidR="009B262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838527" w14:textId="65C84728" w:rsidR="00093E6B" w:rsidRPr="00093E6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[L</w:t>
      </w:r>
      <w:r w:rsidR="00093E6B"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OCAL E DATA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56D2EDC9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7BAA6C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778C582" w14:textId="2A63F3ED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ASSUNTO: </w:t>
      </w:r>
      <w:r w:rsidR="00754562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="00754562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referência indicada pela Segurança Social na notificação</w:t>
      </w:r>
      <w:r w:rsidR="00754562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3604F51E" w14:textId="773C4F2B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3987B77" w14:textId="77777777" w:rsidR="009B262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6C8D6B1" w14:textId="16E590FC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Notificado por V. Exa. para envio de documentos contabilísticos d</w:t>
      </w:r>
      <w:r w:rsidR="0098657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entidade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9B262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NOME E NI</w:t>
      </w:r>
      <w:r w:rsidR="003977F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SS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DA ENTIDADE</w:t>
      </w:r>
      <w:r w:rsidR="009B262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, </w:t>
      </w:r>
      <w:r w:rsidR="003977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para efeitos da </w:t>
      </w:r>
      <w:r w:rsidR="00B4558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="003977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verificação da veracidade da situação de facto subjacente à atribuição do Apoio Extraordinário à Manutenção do Contrato de Trabalho (</w:t>
      </w:r>
      <w:proofErr w:type="spellStart"/>
      <w:r w:rsidR="003977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Lay-off</w:t>
      </w:r>
      <w:proofErr w:type="spellEnd"/>
      <w:r w:rsidR="003977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simplificado), previsto no Decreto-Lei n.º 10-G/2020, de 26 de março</w:t>
      </w:r>
      <w:r w:rsidR="00B4558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”</w:t>
      </w:r>
      <w:r w:rsidR="003977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venho, pelo presente, na qualidade de </w:t>
      </w:r>
      <w:r w:rsidR="00B45581"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Contabilista Certificado 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da </w:t>
      </w:r>
      <w:r w:rsidR="003977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entidade atrás identificada, 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informar </w:t>
      </w:r>
      <w:r w:rsidR="009D708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termos abaixo relativamente à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disponibilização da informação requerida</w:t>
      </w:r>
      <w:r w:rsidR="009D708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7FD54197" w14:textId="374FD583" w:rsidR="003977FF" w:rsidRDefault="003977FF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1D8E1E0" w14:textId="7070CAD1" w:rsidR="00E95ED8" w:rsidRPr="003977FF" w:rsidRDefault="00E95ED8" w:rsidP="008F75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Ata de aprovação de contas</w:t>
      </w:r>
      <w:r w:rsidR="008F752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relatório de gestão do ano 2019</w:t>
      </w:r>
      <w:r w:rsidR="005C0A8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e ata da definição de distribuição de resultados de 2020</w:t>
      </w:r>
    </w:p>
    <w:p w14:paraId="32285CF2" w14:textId="6CAD18C8" w:rsidR="00AC245E" w:rsidRPr="00AC245E" w:rsidRDefault="00AC245E" w:rsidP="00E01A41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 w:rsidRPr="00AC245E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[Ata de aprovação de contas]</w:t>
      </w:r>
    </w:p>
    <w:p w14:paraId="58CBBBAA" w14:textId="7FF7D2A3" w:rsidR="00E95ED8" w:rsidRDefault="00E95ED8" w:rsidP="00E01A41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artigo 18.º do Decreto-Lei n.º 10-A/2020, de 13 de março, estabelece que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as assembleias gerais das sociedades comerciais, das associações ou das cooperativas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que devam ter lugar por imposição legal ou estatutária, podem ser realizadas até </w:t>
      </w:r>
      <w:r w:rsidRPr="008F752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30 de</w:t>
      </w:r>
      <w:r w:rsidRPr="008F752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8F752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junho de 2020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 Tal situação vem permitir que as assembleias gerais para discussão e aprovação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 contas, normalmente efetuadas até final de março do ano seguinte ao período da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prestação de contas, po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ssam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ser realizadas até 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30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 junho de 2020.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Consequ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ntemente, as empresas têm até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ao final de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junho para fechar as suas contas relativas a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2019, pelo que não é legítima a exigência de disponibilização dos documentos de prestação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 contas das empresas reportados ao período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de tributação de 2019 preparados e</w:t>
      </w:r>
      <w:r w:rsidR="00E01A4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95ED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aprovados legalmente nos termos da legislação comercial e contabilística.</w:t>
      </w:r>
    </w:p>
    <w:p w14:paraId="6158A5CF" w14:textId="091DEDEC" w:rsidR="009D708E" w:rsidRDefault="009D708E" w:rsidP="00E01A41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Junto se envia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um parecer da Ordem dos Contabilistas Certificados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sobre a atual legislação de prestação de contas, que fundamenta a referida impossibilidade.</w:t>
      </w:r>
    </w:p>
    <w:p w14:paraId="7F813863" w14:textId="3900DD99" w:rsidR="00C26ACE" w:rsidRPr="00A2400F" w:rsidRDefault="00C26ACE" w:rsidP="00E01A41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 w:rsidRPr="00A2400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[Relatório de gestão – aplicável apenas a </w:t>
      </w:r>
      <w:proofErr w:type="spellStart"/>
      <w:r w:rsidRPr="00A2400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microentidades</w:t>
      </w:r>
      <w:proofErr w:type="spellEnd"/>
      <w:r w:rsidRPr="00A2400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– eliminar caso não aplicável]</w:t>
      </w:r>
    </w:p>
    <w:p w14:paraId="6AFBA8A6" w14:textId="261DF154" w:rsidR="00C26ACE" w:rsidRDefault="00C26ACE" w:rsidP="00C26ACE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No que se refere ao relatório de gestão, </w:t>
      </w:r>
      <w:r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</w:t>
      </w:r>
      <w:r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 publicação do Decreto-Lei n.º 98/2015, de 2 de junho, foram aprovadas medidas de simplificação no âmbito do procedimento de prestação de contas das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microentidades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incluindo a d</w:t>
      </w:r>
      <w:r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ispensa da obrigação de elaborar o relatório de gestão, desde que procedam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à divulgação, quando aplicável, no final do balanço,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 um conjunto de</w:t>
      </w:r>
      <w:r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informações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Assim, nos termos do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 66.º, n.º 6 do Código das Sociedades Comerciais, a entidade</w:t>
      </w:r>
      <w:r w:rsidR="00A2400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encontra-se dispensada da </w:t>
      </w:r>
      <w:r w:rsidR="00A2400F" w:rsidRPr="00C26A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obrigação de elaborar o relatório de gestão</w:t>
      </w:r>
      <w:r w:rsidR="00A2400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5C7F9030" w14:textId="154FB9CF" w:rsidR="005C0A8A" w:rsidRPr="005C0A8A" w:rsidRDefault="005C0A8A" w:rsidP="00C26ACE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[A</w:t>
      </w:r>
      <w:r w:rsidRPr="005C0A8A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ta da definição de distribuição de resultados de 2020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]</w:t>
      </w:r>
    </w:p>
    <w:p w14:paraId="6BFFA85D" w14:textId="18F1322E" w:rsidR="005C0A8A" w:rsidRDefault="005C0A8A" w:rsidP="00C26ACE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Por maioria de razão face </w:t>
      </w:r>
      <w:r w:rsidR="00D862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 exposto, estando a decorrer o período legal de prestação de contas, a entidade não dispõe ainda de ata de aprovação de contas</w:t>
      </w:r>
      <w:r w:rsidR="00D8627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do exercício de 2019.</w:t>
      </w:r>
    </w:p>
    <w:p w14:paraId="07C409FB" w14:textId="7B3ECA06" w:rsidR="003977FF" w:rsidRPr="001F74F7" w:rsidRDefault="001F74F7" w:rsidP="004865A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1F74F7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Balancete analítico em 31.12.2019</w:t>
      </w:r>
    </w:p>
    <w:p w14:paraId="19FE83BD" w14:textId="4E04724B" w:rsidR="001F74F7" w:rsidRPr="00741C42" w:rsidRDefault="00741C42" w:rsidP="00741C42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[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El</w:t>
      </w:r>
      <w:r w:rsidRPr="00A2400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iminar caso não aplicável]</w:t>
      </w:r>
    </w:p>
    <w:p w14:paraId="1F8275B2" w14:textId="68F03970" w:rsidR="001F74F7" w:rsidRDefault="00044E82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 w:rsidR="00741C4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ão tendo ainda a entidade procedido à aprovação de contas, envia-se o balancete com as operações que foi possível registar até à data, sendo que este balancete poderá ainda vir a ser objeto de ajustamentos com vista ao encerramento das contas do exercício</w:t>
      </w:r>
      <w:r w:rsidR="0095124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 2019</w:t>
      </w:r>
      <w:r w:rsidR="00741C4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3FB68809" w14:textId="77777777" w:rsidR="00044E82" w:rsidRDefault="00044E82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B631D40" w14:textId="6860AAE4" w:rsidR="001F74F7" w:rsidRPr="00741C42" w:rsidRDefault="00741C42" w:rsidP="00044E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741C42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Balancete analítico de 2020 (último mês encerrado)</w:t>
      </w:r>
    </w:p>
    <w:p w14:paraId="6E3D8977" w14:textId="77777777" w:rsidR="00741C42" w:rsidRPr="00741C42" w:rsidRDefault="00741C42" w:rsidP="00741C42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[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El</w:t>
      </w:r>
      <w:r w:rsidRPr="00A2400F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iminar caso não aplicável]</w:t>
      </w:r>
    </w:p>
    <w:p w14:paraId="200CC1B5" w14:textId="30A4C046" w:rsidR="00741C42" w:rsidRDefault="00741C42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ão tendo a entidade procedido </w:t>
      </w:r>
      <w:r w:rsidR="0095124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ainda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à aprovação de contas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 2019, não estão apurados os saldos de fecho do ano de 2019, pelo que não é possível apresentar saldos de abertura de 2020 e subsequentes registos contabilísticos das operações deste exercício. </w:t>
      </w:r>
    </w:p>
    <w:p w14:paraId="1A7724F9" w14:textId="77777777" w:rsidR="0061280B" w:rsidRDefault="0061280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6D86829" w14:textId="7A6446F0" w:rsidR="00741C42" w:rsidRPr="0061280B" w:rsidRDefault="0061280B" w:rsidP="009512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bdr w:val="none" w:sz="0" w:space="0" w:color="auto" w:frame="1"/>
        </w:rPr>
      </w:pPr>
      <w:r w:rsidRPr="0061280B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bdr w:val="none" w:sz="0" w:space="0" w:color="auto" w:frame="1"/>
        </w:rPr>
        <w:t>Extrato das contas 26, 71 e 72 de janeiro de 2019 a abril de 2020</w:t>
      </w:r>
    </w:p>
    <w:p w14:paraId="562D8007" w14:textId="315970F6" w:rsidR="0061280B" w:rsidRDefault="0061280B" w:rsidP="0061280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N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ão tendo ainda a entidade procedido à aprovação de contas, envia-se o</w:t>
      </w:r>
      <w:r w:rsidR="001F4D1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 extratos das contas </w:t>
      </w:r>
      <w:r w:rsidR="0085073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solicitadas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 as operações que foi possível registar até à data</w:t>
      </w:r>
      <w:r w:rsidR="001F4D1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4F4F5719" w14:textId="77777777" w:rsidR="00850730" w:rsidRDefault="00850730" w:rsidP="0061280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4B90F50" w14:textId="726A1B43" w:rsidR="00741C42" w:rsidRPr="00463D6E" w:rsidRDefault="00463D6E" w:rsidP="008507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463D6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Documentos que estiveram na base da Certificação do Contabilista para o pedido do </w:t>
      </w:r>
      <w:r w:rsidRPr="00463D6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Apoio Extraordinário à Manutenção do Contrato de Trabalho</w:t>
      </w:r>
    </w:p>
    <w:p w14:paraId="232D4496" w14:textId="1E60C0DC" w:rsidR="001F74F7" w:rsidRDefault="00754562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Anexa-se declaração preparada pelo Contabilista Certificado, que contém a informação relevante para o efeito.</w:t>
      </w:r>
    </w:p>
    <w:p w14:paraId="38013FE4" w14:textId="22FCCFEB" w:rsidR="00463D6E" w:rsidRDefault="00463D6E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7C125CA" w14:textId="27D391CC" w:rsidR="00463D6E" w:rsidRDefault="00463D6E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A8D09A9" w14:textId="6BA4D21F" w:rsidR="00463D6E" w:rsidRDefault="00463D6E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B9826EF" w14:textId="457BA2CD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 os melhores cumprimentos,</w:t>
      </w:r>
    </w:p>
    <w:p w14:paraId="332173A8" w14:textId="255EBE10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EAE30F9" w14:textId="7BE683A5" w:rsidR="00093E6B" w:rsidRPr="009B262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="00093E6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IDENTIFICAÇÃO E ASSINATURA DO CONTABILISTA CERTIFICADO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sectPr w:rsidR="00093E6B" w:rsidRPr="009B262B" w:rsidSect="00093E6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70A13" w14:textId="77777777" w:rsidR="00A12477" w:rsidRDefault="00A12477" w:rsidP="00093E6B">
      <w:pPr>
        <w:spacing w:after="0" w:line="240" w:lineRule="auto"/>
      </w:pPr>
      <w:r>
        <w:separator/>
      </w:r>
    </w:p>
  </w:endnote>
  <w:endnote w:type="continuationSeparator" w:id="0">
    <w:p w14:paraId="02E24B14" w14:textId="77777777" w:rsidR="00A12477" w:rsidRDefault="00A12477" w:rsidP="0009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7758" w14:textId="77777777" w:rsidR="00A12477" w:rsidRDefault="00A12477" w:rsidP="00093E6B">
      <w:pPr>
        <w:spacing w:after="0" w:line="240" w:lineRule="auto"/>
      </w:pPr>
      <w:r>
        <w:separator/>
      </w:r>
    </w:p>
  </w:footnote>
  <w:footnote w:type="continuationSeparator" w:id="0">
    <w:p w14:paraId="46EF51CC" w14:textId="77777777" w:rsidR="00A12477" w:rsidRDefault="00A12477" w:rsidP="0009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B97"/>
    <w:multiLevelType w:val="hybridMultilevel"/>
    <w:tmpl w:val="1206DF2C"/>
    <w:lvl w:ilvl="0" w:tplc="421CAA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14E8C"/>
    <w:multiLevelType w:val="hybridMultilevel"/>
    <w:tmpl w:val="63984D8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43"/>
    <w:rsid w:val="00025E8A"/>
    <w:rsid w:val="000267C7"/>
    <w:rsid w:val="0004016E"/>
    <w:rsid w:val="00044E82"/>
    <w:rsid w:val="00093E6B"/>
    <w:rsid w:val="000D7C92"/>
    <w:rsid w:val="000F4AAE"/>
    <w:rsid w:val="001F4D13"/>
    <w:rsid w:val="001F74F7"/>
    <w:rsid w:val="002C2300"/>
    <w:rsid w:val="003427CE"/>
    <w:rsid w:val="003977FF"/>
    <w:rsid w:val="00463D6E"/>
    <w:rsid w:val="004865AE"/>
    <w:rsid w:val="005C0A8A"/>
    <w:rsid w:val="0061280B"/>
    <w:rsid w:val="0071153E"/>
    <w:rsid w:val="007352FF"/>
    <w:rsid w:val="00741C42"/>
    <w:rsid w:val="00754562"/>
    <w:rsid w:val="00850730"/>
    <w:rsid w:val="0086219D"/>
    <w:rsid w:val="008F7528"/>
    <w:rsid w:val="00927A7C"/>
    <w:rsid w:val="00951246"/>
    <w:rsid w:val="00956B43"/>
    <w:rsid w:val="009854C7"/>
    <w:rsid w:val="0098657B"/>
    <w:rsid w:val="009B262B"/>
    <w:rsid w:val="009D708E"/>
    <w:rsid w:val="00A12477"/>
    <w:rsid w:val="00A2400F"/>
    <w:rsid w:val="00AC245E"/>
    <w:rsid w:val="00B45581"/>
    <w:rsid w:val="00B85E49"/>
    <w:rsid w:val="00C26ACE"/>
    <w:rsid w:val="00CC37A9"/>
    <w:rsid w:val="00D160F9"/>
    <w:rsid w:val="00D86271"/>
    <w:rsid w:val="00DE2FA1"/>
    <w:rsid w:val="00E01A41"/>
    <w:rsid w:val="00E44A27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157F"/>
  <w15:chartTrackingRefBased/>
  <w15:docId w15:val="{7D9AF036-3041-432D-842A-40782FB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ark19evjamcz">
    <w:name w:val="mark19evjamcz"/>
    <w:basedOn w:val="Tipodeletrapredefinidodopargrafo"/>
    <w:rsid w:val="00956B43"/>
  </w:style>
  <w:style w:type="character" w:customStyle="1" w:styleId="markeshu817cm">
    <w:name w:val="markeshu817cm"/>
    <w:basedOn w:val="Tipodeletrapredefinidodopargrafo"/>
    <w:rsid w:val="00956B43"/>
  </w:style>
  <w:style w:type="paragraph" w:styleId="Cabealho">
    <w:name w:val="header"/>
    <w:basedOn w:val="Normal"/>
    <w:link w:val="CabealhoCarter"/>
    <w:uiPriority w:val="99"/>
    <w:unhideWhenUsed/>
    <w:rsid w:val="0009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3E6B"/>
  </w:style>
  <w:style w:type="paragraph" w:styleId="Rodap">
    <w:name w:val="footer"/>
    <w:basedOn w:val="Normal"/>
    <w:link w:val="RodapCarter"/>
    <w:uiPriority w:val="99"/>
    <w:unhideWhenUsed/>
    <w:rsid w:val="0009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82BD-7B6B-4531-A33D-3D25E71D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da Bastonária - João Ferreira Da Silva</dc:creator>
  <cp:keywords/>
  <dc:description/>
  <cp:lastModifiedBy>Dept. Técnico - Anabela Santos</cp:lastModifiedBy>
  <cp:revision>27</cp:revision>
  <dcterms:created xsi:type="dcterms:W3CDTF">2020-06-17T14:49:00Z</dcterms:created>
  <dcterms:modified xsi:type="dcterms:W3CDTF">2020-06-17T15:25:00Z</dcterms:modified>
</cp:coreProperties>
</file>